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tblCellMar>
          <w:left w:w="0" w:type="dxa"/>
          <w:right w:w="0" w:type="dxa"/>
        </w:tblCellMar>
        <w:tblLook w:val="04A0"/>
      </w:tblPr>
      <w:tblGrid>
        <w:gridCol w:w="9026"/>
      </w:tblGrid>
      <w:tr w:rsidR="005A0477" w:rsidRPr="005A0477" w:rsidTr="005A0477">
        <w:trPr>
          <w:tblCellSpacing w:w="0" w:type="dxa"/>
        </w:trPr>
        <w:tc>
          <w:tcPr>
            <w:tcW w:w="0" w:type="auto"/>
            <w:vAlign w:val="center"/>
            <w:hideMark/>
          </w:tcPr>
          <w:tbl>
            <w:tblPr>
              <w:tblW w:w="3500" w:type="pct"/>
              <w:jc w:val="center"/>
              <w:tblCellSpacing w:w="7" w:type="dxa"/>
              <w:tblCellMar>
                <w:top w:w="15" w:type="dxa"/>
                <w:left w:w="15" w:type="dxa"/>
                <w:bottom w:w="15" w:type="dxa"/>
                <w:right w:w="15" w:type="dxa"/>
              </w:tblCellMar>
              <w:tblLook w:val="04A0"/>
            </w:tblPr>
            <w:tblGrid>
              <w:gridCol w:w="6318"/>
            </w:tblGrid>
            <w:tr w:rsidR="005A0477" w:rsidRPr="005A0477" w:rsidTr="005A0477">
              <w:trPr>
                <w:tblCellSpacing w:w="7" w:type="dxa"/>
                <w:jc w:val="center"/>
              </w:trPr>
              <w:tc>
                <w:tcPr>
                  <w:tcW w:w="4978" w:type="pct"/>
                  <w:vAlign w:val="center"/>
                  <w:hideMark/>
                </w:tcPr>
                <w:p w:rsidR="005A0477" w:rsidRPr="005A0477" w:rsidRDefault="005A0477" w:rsidP="005A0477">
                  <w:pPr>
                    <w:spacing w:before="100" w:beforeAutospacing="1" w:after="100" w:afterAutospacing="1" w:line="240" w:lineRule="auto"/>
                    <w:jc w:val="center"/>
                    <w:rPr>
                      <w:rFonts w:ascii="Times New Roman" w:eastAsia="Times New Roman" w:hAnsi="Times New Roman" w:cs="Times New Roman"/>
                      <w:sz w:val="24"/>
                      <w:szCs w:val="24"/>
                      <w:lang w:eastAsia="en-GB"/>
                    </w:rPr>
                  </w:pPr>
                </w:p>
              </w:tc>
            </w:tr>
          </w:tbl>
          <w:p w:rsidR="005A0477" w:rsidRPr="005A0477" w:rsidRDefault="005A0477" w:rsidP="005A0477">
            <w:pPr>
              <w:spacing w:after="0" w:line="240" w:lineRule="auto"/>
              <w:jc w:val="center"/>
              <w:rPr>
                <w:rFonts w:ascii="Times New Roman" w:eastAsia="Times New Roman" w:hAnsi="Times New Roman" w:cs="Times New Roman"/>
                <w:sz w:val="24"/>
                <w:szCs w:val="24"/>
                <w:lang w:eastAsia="en-GB"/>
              </w:rPr>
            </w:pPr>
          </w:p>
        </w:tc>
      </w:tr>
    </w:tbl>
    <w:p w:rsidR="005A0477" w:rsidRPr="005A0477" w:rsidRDefault="005A0477" w:rsidP="005A0477">
      <w:pPr>
        <w:spacing w:after="0" w:line="240" w:lineRule="auto"/>
        <w:rPr>
          <w:rFonts w:ascii="Times New Roman" w:eastAsia="Times New Roman" w:hAnsi="Times New Roman" w:cs="Times New Roman"/>
          <w:vanish/>
          <w:color w:val="000000"/>
          <w:sz w:val="27"/>
          <w:lang w:eastAsia="en-GB"/>
        </w:rPr>
      </w:pPr>
    </w:p>
    <w:tbl>
      <w:tblPr>
        <w:tblW w:w="5000" w:type="pct"/>
        <w:tblCellSpacing w:w="0" w:type="dxa"/>
        <w:tblCellMar>
          <w:left w:w="0" w:type="dxa"/>
          <w:right w:w="0" w:type="dxa"/>
        </w:tblCellMar>
        <w:tblLook w:val="04A0"/>
      </w:tblPr>
      <w:tblGrid>
        <w:gridCol w:w="9026"/>
      </w:tblGrid>
      <w:tr w:rsidR="005A0477" w:rsidRPr="005A0477" w:rsidTr="005A0477">
        <w:trPr>
          <w:tblCellSpacing w:w="0" w:type="dxa"/>
        </w:trPr>
        <w:tc>
          <w:tcPr>
            <w:tcW w:w="0" w:type="auto"/>
            <w:hideMark/>
          </w:tcPr>
          <w:tbl>
            <w:tblPr>
              <w:tblW w:w="3250" w:type="pct"/>
              <w:jc w:val="center"/>
              <w:tblCellSpacing w:w="0" w:type="dxa"/>
              <w:tblCellMar>
                <w:top w:w="30" w:type="dxa"/>
                <w:left w:w="30" w:type="dxa"/>
                <w:bottom w:w="30" w:type="dxa"/>
                <w:right w:w="30" w:type="dxa"/>
              </w:tblCellMar>
              <w:tblLook w:val="04A0"/>
            </w:tblPr>
            <w:tblGrid>
              <w:gridCol w:w="5867"/>
            </w:tblGrid>
            <w:tr w:rsidR="005A0477" w:rsidRPr="005A0477">
              <w:trPr>
                <w:tblCellSpacing w:w="0" w:type="dxa"/>
                <w:jc w:val="center"/>
              </w:trPr>
              <w:tc>
                <w:tcPr>
                  <w:tcW w:w="5000" w:type="pct"/>
                  <w:vAlign w:val="center"/>
                  <w:hideMark/>
                </w:tcPr>
                <w:tbl>
                  <w:tblPr>
                    <w:tblW w:w="5000" w:type="pct"/>
                    <w:jc w:val="center"/>
                    <w:tblCellSpacing w:w="0" w:type="dxa"/>
                    <w:tblCellMar>
                      <w:top w:w="30" w:type="dxa"/>
                      <w:left w:w="30" w:type="dxa"/>
                      <w:bottom w:w="30" w:type="dxa"/>
                      <w:right w:w="30" w:type="dxa"/>
                    </w:tblCellMar>
                    <w:tblLook w:val="04A0"/>
                  </w:tblPr>
                  <w:tblGrid>
                    <w:gridCol w:w="1230"/>
                    <w:gridCol w:w="3347"/>
                    <w:gridCol w:w="1230"/>
                  </w:tblGrid>
                  <w:tr w:rsidR="005A0477" w:rsidRPr="005A0477">
                    <w:trPr>
                      <w:tblCellSpacing w:w="0" w:type="dxa"/>
                      <w:jc w:val="center"/>
                    </w:trPr>
                    <w:tc>
                      <w:tcPr>
                        <w:tcW w:w="500" w:type="pct"/>
                        <w:vAlign w:val="center"/>
                        <w:hideMark/>
                      </w:tcPr>
                      <w:p w:rsidR="005A0477" w:rsidRPr="005A0477" w:rsidRDefault="005A0477" w:rsidP="005A0477">
                        <w:pPr>
                          <w:spacing w:before="100" w:beforeAutospacing="1" w:after="100" w:afterAutospacing="1" w:line="240" w:lineRule="auto"/>
                          <w:jc w:val="center"/>
                          <w:rPr>
                            <w:rFonts w:ascii="Times New Roman" w:eastAsia="Times New Roman" w:hAnsi="Times New Roman" w:cs="Times New Roman"/>
                            <w:sz w:val="24"/>
                            <w:szCs w:val="24"/>
                            <w:lang w:eastAsia="en-GB"/>
                          </w:rPr>
                        </w:pPr>
                        <w:r>
                          <w:rPr>
                            <w:rFonts w:ascii="Arial" w:eastAsia="Times New Roman" w:hAnsi="Arial" w:cs="Arial"/>
                            <w:noProof/>
                            <w:sz w:val="24"/>
                            <w:szCs w:val="24"/>
                            <w:lang w:eastAsia="en-GB"/>
                          </w:rPr>
                          <w:drawing>
                            <wp:inline distT="0" distB="0" distL="0" distR="0">
                              <wp:extent cx="714375" cy="647700"/>
                              <wp:effectExtent l="19050" t="0" r="9525" b="0"/>
                              <wp:docPr id="4" name="Picture 4" descr="http://www.cefresearch.com/matrix/images/cef_crest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efresearch.com/matrix/images/cef_crest_small.JPG"/>
                                      <pic:cNvPicPr>
                                        <a:picLocks noChangeAspect="1" noChangeArrowheads="1"/>
                                      </pic:cNvPicPr>
                                    </pic:nvPicPr>
                                    <pic:blipFill>
                                      <a:blip r:embed="rId4" cstate="print"/>
                                      <a:srcRect/>
                                      <a:stretch>
                                        <a:fillRect/>
                                      </a:stretch>
                                    </pic:blipFill>
                                    <pic:spPr bwMode="auto">
                                      <a:xfrm>
                                        <a:off x="0" y="0"/>
                                        <a:ext cx="714375" cy="647700"/>
                                      </a:xfrm>
                                      <a:prstGeom prst="rect">
                                        <a:avLst/>
                                      </a:prstGeom>
                                      <a:noFill/>
                                      <a:ln w="9525">
                                        <a:noFill/>
                                        <a:miter lim="800000"/>
                                        <a:headEnd/>
                                        <a:tailEnd/>
                                      </a:ln>
                                    </pic:spPr>
                                  </pic:pic>
                                </a:graphicData>
                              </a:graphic>
                            </wp:inline>
                          </w:drawing>
                        </w:r>
                      </w:p>
                    </w:tc>
                    <w:tc>
                      <w:tcPr>
                        <w:tcW w:w="1650" w:type="pct"/>
                        <w:vAlign w:val="center"/>
                        <w:hideMark/>
                      </w:tcPr>
                      <w:p w:rsidR="005A0477" w:rsidRPr="005A0477" w:rsidRDefault="005A0477" w:rsidP="005A0477">
                        <w:pPr>
                          <w:spacing w:before="100" w:beforeAutospacing="1" w:after="100" w:afterAutospacing="1" w:line="240" w:lineRule="auto"/>
                          <w:jc w:val="center"/>
                          <w:outlineLvl w:val="1"/>
                          <w:rPr>
                            <w:rFonts w:ascii="Times New Roman" w:eastAsia="Times New Roman" w:hAnsi="Times New Roman" w:cs="Times New Roman"/>
                            <w:b/>
                            <w:bCs/>
                            <w:sz w:val="36"/>
                            <w:szCs w:val="36"/>
                            <w:lang w:eastAsia="en-GB"/>
                          </w:rPr>
                        </w:pPr>
                        <w:r w:rsidRPr="005A0477">
                          <w:rPr>
                            <w:rFonts w:ascii="Arial" w:eastAsia="Times New Roman" w:hAnsi="Arial" w:cs="Arial"/>
                            <w:b/>
                            <w:bCs/>
                            <w:color w:val="663333"/>
                            <w:sz w:val="36"/>
                            <w:szCs w:val="36"/>
                            <w:lang w:eastAsia="en-GB"/>
                          </w:rPr>
                          <w:t xml:space="preserve">Canadian Expeditionary Force </w:t>
                        </w:r>
                      </w:p>
                      <w:p w:rsidR="005A0477" w:rsidRPr="005A0477" w:rsidRDefault="005A0477" w:rsidP="005A047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5A0477">
                          <w:rPr>
                            <w:rFonts w:ascii="Arial" w:eastAsia="Times New Roman" w:hAnsi="Arial" w:cs="Arial"/>
                            <w:sz w:val="24"/>
                            <w:szCs w:val="24"/>
                            <w:lang w:eastAsia="en-GB"/>
                          </w:rPr>
                          <w:t> </w:t>
                        </w:r>
                      </w:p>
                    </w:tc>
                    <w:tc>
                      <w:tcPr>
                        <w:tcW w:w="500" w:type="pct"/>
                        <w:vAlign w:val="center"/>
                        <w:hideMark/>
                      </w:tcPr>
                      <w:p w:rsidR="005A0477" w:rsidRPr="005A0477" w:rsidRDefault="005A0477" w:rsidP="005A0477">
                        <w:pPr>
                          <w:spacing w:before="100" w:beforeAutospacing="1" w:after="100" w:afterAutospacing="1" w:line="240" w:lineRule="auto"/>
                          <w:jc w:val="center"/>
                          <w:rPr>
                            <w:rFonts w:ascii="Times New Roman" w:eastAsia="Times New Roman" w:hAnsi="Times New Roman" w:cs="Times New Roman"/>
                            <w:sz w:val="24"/>
                            <w:szCs w:val="24"/>
                            <w:lang w:eastAsia="en-GB"/>
                          </w:rPr>
                        </w:pPr>
                        <w:r>
                          <w:rPr>
                            <w:rFonts w:ascii="Arial" w:eastAsia="Times New Roman" w:hAnsi="Arial" w:cs="Arial"/>
                            <w:noProof/>
                            <w:color w:val="0000FF"/>
                            <w:sz w:val="24"/>
                            <w:szCs w:val="24"/>
                            <w:lang w:eastAsia="en-GB"/>
                          </w:rPr>
                          <w:drawing>
                            <wp:inline distT="0" distB="0" distL="0" distR="0">
                              <wp:extent cx="714375" cy="771525"/>
                              <wp:effectExtent l="19050" t="0" r="9525" b="0"/>
                              <wp:docPr id="5" name="Picture 5" descr="http://www.cefresearch.com/matrix/images/badges2008/CEF_Forestry.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efresearch.com/matrix/images/badges2008/CEF_Forestry.gif">
                                        <a:hlinkClick r:id="rId5"/>
                                      </pic:cNvPr>
                                      <pic:cNvPicPr>
                                        <a:picLocks noChangeAspect="1" noChangeArrowheads="1"/>
                                      </pic:cNvPicPr>
                                    </pic:nvPicPr>
                                    <pic:blipFill>
                                      <a:blip r:embed="rId6" cstate="print"/>
                                      <a:srcRect/>
                                      <a:stretch>
                                        <a:fillRect/>
                                      </a:stretch>
                                    </pic:blipFill>
                                    <pic:spPr bwMode="auto">
                                      <a:xfrm>
                                        <a:off x="0" y="0"/>
                                        <a:ext cx="714375" cy="771525"/>
                                      </a:xfrm>
                                      <a:prstGeom prst="rect">
                                        <a:avLst/>
                                      </a:prstGeom>
                                      <a:noFill/>
                                      <a:ln w="9525">
                                        <a:noFill/>
                                        <a:miter lim="800000"/>
                                        <a:headEnd/>
                                        <a:tailEnd/>
                                      </a:ln>
                                    </pic:spPr>
                                  </pic:pic>
                                </a:graphicData>
                              </a:graphic>
                            </wp:inline>
                          </w:drawing>
                        </w:r>
                      </w:p>
                    </w:tc>
                  </w:tr>
                </w:tbl>
                <w:p w:rsidR="005A0477" w:rsidRPr="005A0477" w:rsidRDefault="005A0477" w:rsidP="005A0477">
                  <w:pPr>
                    <w:spacing w:after="0" w:line="240" w:lineRule="auto"/>
                    <w:jc w:val="center"/>
                    <w:rPr>
                      <w:rFonts w:ascii="Times New Roman" w:eastAsia="Times New Roman" w:hAnsi="Times New Roman" w:cs="Times New Roman"/>
                      <w:vanish/>
                      <w:sz w:val="24"/>
                      <w:szCs w:val="24"/>
                      <w:lang w:eastAsia="en-GB"/>
                    </w:rPr>
                  </w:pPr>
                </w:p>
                <w:tbl>
                  <w:tblPr>
                    <w:tblW w:w="5000" w:type="pct"/>
                    <w:jc w:val="center"/>
                    <w:tblCellSpacing w:w="0" w:type="dxa"/>
                    <w:tblCellMar>
                      <w:top w:w="30" w:type="dxa"/>
                      <w:left w:w="30" w:type="dxa"/>
                      <w:bottom w:w="30" w:type="dxa"/>
                      <w:right w:w="30" w:type="dxa"/>
                    </w:tblCellMar>
                    <w:tblLook w:val="04A0"/>
                  </w:tblPr>
                  <w:tblGrid>
                    <w:gridCol w:w="1368"/>
                    <w:gridCol w:w="4439"/>
                  </w:tblGrid>
                  <w:tr w:rsidR="005A0477" w:rsidRPr="005A0477">
                    <w:trPr>
                      <w:tblCellSpacing w:w="0" w:type="dxa"/>
                      <w:jc w:val="center"/>
                    </w:trPr>
                    <w:tc>
                      <w:tcPr>
                        <w:tcW w:w="400" w:type="pct"/>
                        <w:vAlign w:val="center"/>
                        <w:hideMark/>
                      </w:tcPr>
                      <w:p w:rsidR="005A0477" w:rsidRPr="005A0477" w:rsidRDefault="005A0477" w:rsidP="005A0477">
                        <w:pPr>
                          <w:spacing w:after="0" w:line="240" w:lineRule="auto"/>
                          <w:rPr>
                            <w:rFonts w:ascii="Times New Roman" w:eastAsia="Times New Roman" w:hAnsi="Times New Roman" w:cs="Times New Roman"/>
                            <w:sz w:val="24"/>
                            <w:szCs w:val="24"/>
                            <w:lang w:eastAsia="en-GB"/>
                          </w:rPr>
                        </w:pPr>
                        <w:r w:rsidRPr="005A0477">
                          <w:rPr>
                            <w:rFonts w:ascii="Arial" w:eastAsia="Times New Roman" w:hAnsi="Arial" w:cs="Arial"/>
                            <w:sz w:val="24"/>
                            <w:szCs w:val="24"/>
                            <w:lang w:eastAsia="en-GB"/>
                          </w:rPr>
                          <w:t>Component:</w:t>
                        </w:r>
                      </w:p>
                    </w:tc>
                    <w:tc>
                      <w:tcPr>
                        <w:tcW w:w="2600" w:type="pct"/>
                        <w:vAlign w:val="center"/>
                        <w:hideMark/>
                      </w:tcPr>
                      <w:p w:rsidR="005A0477" w:rsidRPr="005A0477" w:rsidRDefault="005A0477" w:rsidP="005A0477">
                        <w:pPr>
                          <w:spacing w:after="0" w:line="240" w:lineRule="auto"/>
                          <w:rPr>
                            <w:rFonts w:ascii="Times New Roman" w:eastAsia="Times New Roman" w:hAnsi="Times New Roman" w:cs="Times New Roman"/>
                            <w:sz w:val="24"/>
                            <w:szCs w:val="24"/>
                            <w:lang w:eastAsia="en-GB"/>
                          </w:rPr>
                        </w:pPr>
                        <w:r w:rsidRPr="005A0477">
                          <w:rPr>
                            <w:rFonts w:ascii="Arial" w:eastAsia="Times New Roman" w:hAnsi="Arial" w:cs="Arial"/>
                            <w:sz w:val="24"/>
                            <w:szCs w:val="24"/>
                            <w:lang w:eastAsia="en-GB"/>
                          </w:rPr>
                          <w:t>238th Infantry Battalion</w:t>
                        </w:r>
                      </w:p>
                    </w:tc>
                  </w:tr>
                </w:tbl>
                <w:p w:rsidR="005A0477" w:rsidRPr="005A0477" w:rsidRDefault="005A0477" w:rsidP="005A0477">
                  <w:pPr>
                    <w:spacing w:after="0" w:line="240" w:lineRule="auto"/>
                    <w:jc w:val="center"/>
                    <w:rPr>
                      <w:rFonts w:ascii="Times New Roman" w:eastAsia="Times New Roman" w:hAnsi="Times New Roman" w:cs="Times New Roman"/>
                      <w:vanish/>
                      <w:sz w:val="24"/>
                      <w:szCs w:val="24"/>
                      <w:lang w:eastAsia="en-GB"/>
                    </w:rPr>
                  </w:pPr>
                </w:p>
                <w:tbl>
                  <w:tblPr>
                    <w:tblW w:w="5000" w:type="pct"/>
                    <w:jc w:val="center"/>
                    <w:tblCellSpacing w:w="0" w:type="dxa"/>
                    <w:tblCellMar>
                      <w:top w:w="30" w:type="dxa"/>
                      <w:left w:w="30" w:type="dxa"/>
                      <w:bottom w:w="30" w:type="dxa"/>
                      <w:right w:w="30" w:type="dxa"/>
                    </w:tblCellMar>
                    <w:tblLook w:val="04A0"/>
                  </w:tblPr>
                  <w:tblGrid>
                    <w:gridCol w:w="1219"/>
                    <w:gridCol w:w="4588"/>
                  </w:tblGrid>
                  <w:tr w:rsidR="005A0477" w:rsidRPr="005A0477">
                    <w:trPr>
                      <w:tblCellSpacing w:w="0" w:type="dxa"/>
                      <w:jc w:val="center"/>
                    </w:trPr>
                    <w:tc>
                      <w:tcPr>
                        <w:tcW w:w="1050" w:type="pct"/>
                        <w:vAlign w:val="center"/>
                        <w:hideMark/>
                      </w:tcPr>
                      <w:p w:rsidR="005A0477" w:rsidRPr="005A0477" w:rsidRDefault="005A0477" w:rsidP="005A0477">
                        <w:pPr>
                          <w:spacing w:after="0" w:line="240" w:lineRule="auto"/>
                          <w:rPr>
                            <w:rFonts w:ascii="Times New Roman" w:eastAsia="Times New Roman" w:hAnsi="Times New Roman" w:cs="Times New Roman"/>
                            <w:sz w:val="24"/>
                            <w:szCs w:val="24"/>
                            <w:lang w:eastAsia="en-GB"/>
                          </w:rPr>
                        </w:pPr>
                        <w:r w:rsidRPr="005A0477">
                          <w:rPr>
                            <w:rFonts w:ascii="Arial" w:eastAsia="Times New Roman" w:hAnsi="Arial" w:cs="Arial"/>
                            <w:sz w:val="24"/>
                            <w:szCs w:val="24"/>
                            <w:lang w:eastAsia="en-GB"/>
                          </w:rPr>
                          <w:t>Active Dates:</w:t>
                        </w:r>
                      </w:p>
                    </w:tc>
                    <w:tc>
                      <w:tcPr>
                        <w:tcW w:w="3950" w:type="pct"/>
                        <w:vAlign w:val="center"/>
                        <w:hideMark/>
                      </w:tcPr>
                      <w:p w:rsidR="005A0477" w:rsidRPr="005A0477" w:rsidRDefault="005A0477" w:rsidP="005A0477">
                        <w:pPr>
                          <w:spacing w:after="0" w:line="240" w:lineRule="auto"/>
                          <w:rPr>
                            <w:rFonts w:ascii="Times New Roman" w:eastAsia="Times New Roman" w:hAnsi="Times New Roman" w:cs="Times New Roman"/>
                            <w:sz w:val="24"/>
                            <w:szCs w:val="24"/>
                            <w:lang w:eastAsia="en-GB"/>
                          </w:rPr>
                        </w:pPr>
                        <w:r w:rsidRPr="005A0477">
                          <w:rPr>
                            <w:rFonts w:ascii="Arial" w:eastAsia="Times New Roman" w:hAnsi="Arial" w:cs="Arial"/>
                            <w:sz w:val="24"/>
                            <w:szCs w:val="24"/>
                            <w:lang w:eastAsia="en-GB"/>
                          </w:rPr>
                          <w:t>July 15, 1916 to September 1, 1920</w:t>
                        </w:r>
                      </w:p>
                    </w:tc>
                  </w:tr>
                </w:tbl>
                <w:p w:rsidR="005A0477" w:rsidRPr="005A0477" w:rsidRDefault="005A0477" w:rsidP="005A0477">
                  <w:pPr>
                    <w:spacing w:after="0" w:line="240" w:lineRule="auto"/>
                    <w:jc w:val="center"/>
                    <w:rPr>
                      <w:rFonts w:ascii="Times New Roman" w:eastAsia="Times New Roman" w:hAnsi="Times New Roman" w:cs="Times New Roman"/>
                      <w:vanish/>
                      <w:sz w:val="24"/>
                      <w:szCs w:val="24"/>
                      <w:lang w:eastAsia="en-GB"/>
                    </w:rPr>
                  </w:pPr>
                </w:p>
                <w:tbl>
                  <w:tblPr>
                    <w:tblW w:w="5000" w:type="pct"/>
                    <w:jc w:val="center"/>
                    <w:tblCellSpacing w:w="0" w:type="dxa"/>
                    <w:tblCellMar>
                      <w:top w:w="30" w:type="dxa"/>
                      <w:left w:w="30" w:type="dxa"/>
                      <w:bottom w:w="30" w:type="dxa"/>
                      <w:right w:w="30" w:type="dxa"/>
                    </w:tblCellMar>
                    <w:tblLook w:val="04A0"/>
                  </w:tblPr>
                  <w:tblGrid>
                    <w:gridCol w:w="1219"/>
                    <w:gridCol w:w="4588"/>
                  </w:tblGrid>
                  <w:tr w:rsidR="005A0477" w:rsidRPr="005A0477">
                    <w:trPr>
                      <w:tblCellSpacing w:w="0" w:type="dxa"/>
                      <w:jc w:val="center"/>
                    </w:trPr>
                    <w:tc>
                      <w:tcPr>
                        <w:tcW w:w="1050" w:type="pct"/>
                        <w:vAlign w:val="center"/>
                        <w:hideMark/>
                      </w:tcPr>
                      <w:p w:rsidR="005A0477" w:rsidRPr="005A0477" w:rsidRDefault="005A0477" w:rsidP="005A0477">
                        <w:pPr>
                          <w:spacing w:after="0" w:line="240" w:lineRule="auto"/>
                          <w:rPr>
                            <w:rFonts w:ascii="Times New Roman" w:eastAsia="Times New Roman" w:hAnsi="Times New Roman" w:cs="Times New Roman"/>
                            <w:sz w:val="24"/>
                            <w:szCs w:val="24"/>
                            <w:lang w:eastAsia="en-GB"/>
                          </w:rPr>
                        </w:pPr>
                      </w:p>
                    </w:tc>
                    <w:tc>
                      <w:tcPr>
                        <w:tcW w:w="3950" w:type="pct"/>
                        <w:vAlign w:val="center"/>
                        <w:hideMark/>
                      </w:tcPr>
                      <w:p w:rsidR="005A0477" w:rsidRPr="005A0477" w:rsidRDefault="005A0477" w:rsidP="005A0477">
                        <w:pPr>
                          <w:spacing w:after="0" w:line="240" w:lineRule="auto"/>
                          <w:rPr>
                            <w:rFonts w:ascii="Times New Roman" w:eastAsia="Times New Roman" w:hAnsi="Times New Roman" w:cs="Times New Roman"/>
                            <w:sz w:val="24"/>
                            <w:szCs w:val="24"/>
                            <w:lang w:eastAsia="en-GB"/>
                          </w:rPr>
                        </w:pPr>
                      </w:p>
                    </w:tc>
                  </w:tr>
                </w:tbl>
                <w:p w:rsidR="005A0477" w:rsidRPr="005A0477" w:rsidRDefault="005A0477" w:rsidP="005A0477">
                  <w:pPr>
                    <w:spacing w:after="0" w:line="240" w:lineRule="auto"/>
                    <w:jc w:val="center"/>
                    <w:rPr>
                      <w:rFonts w:ascii="Times New Roman" w:eastAsia="Times New Roman" w:hAnsi="Times New Roman" w:cs="Times New Roman"/>
                      <w:vanish/>
                      <w:sz w:val="24"/>
                      <w:szCs w:val="24"/>
                      <w:lang w:eastAsia="en-GB"/>
                    </w:rPr>
                  </w:pPr>
                </w:p>
                <w:tbl>
                  <w:tblPr>
                    <w:tblW w:w="5000" w:type="pct"/>
                    <w:jc w:val="center"/>
                    <w:tblCellSpacing w:w="0" w:type="dxa"/>
                    <w:tblCellMar>
                      <w:top w:w="30" w:type="dxa"/>
                      <w:left w:w="30" w:type="dxa"/>
                      <w:bottom w:w="30" w:type="dxa"/>
                      <w:right w:w="30" w:type="dxa"/>
                    </w:tblCellMar>
                    <w:tblLook w:val="04A0"/>
                  </w:tblPr>
                  <w:tblGrid>
                    <w:gridCol w:w="2032"/>
                    <w:gridCol w:w="3775"/>
                  </w:tblGrid>
                  <w:tr w:rsidR="005A0477" w:rsidRPr="005A0477">
                    <w:trPr>
                      <w:tblCellSpacing w:w="0" w:type="dxa"/>
                      <w:jc w:val="center"/>
                    </w:trPr>
                    <w:tc>
                      <w:tcPr>
                        <w:tcW w:w="1750" w:type="pct"/>
                        <w:hideMark/>
                      </w:tcPr>
                      <w:p w:rsidR="005A0477" w:rsidRPr="005A0477" w:rsidRDefault="005A0477" w:rsidP="005A0477">
                        <w:pPr>
                          <w:spacing w:after="0" w:line="240" w:lineRule="auto"/>
                          <w:rPr>
                            <w:rFonts w:ascii="Times New Roman" w:eastAsia="Times New Roman" w:hAnsi="Times New Roman" w:cs="Times New Roman"/>
                            <w:sz w:val="24"/>
                            <w:szCs w:val="24"/>
                            <w:lang w:eastAsia="en-GB"/>
                          </w:rPr>
                        </w:pPr>
                        <w:r w:rsidRPr="005A0477">
                          <w:rPr>
                            <w:rFonts w:ascii="Arial" w:eastAsia="Times New Roman" w:hAnsi="Arial" w:cs="Arial"/>
                            <w:sz w:val="24"/>
                            <w:szCs w:val="24"/>
                            <w:lang w:eastAsia="en-GB"/>
                          </w:rPr>
                          <w:t>Theatre of Operations:</w:t>
                        </w:r>
                      </w:p>
                    </w:tc>
                    <w:tc>
                      <w:tcPr>
                        <w:tcW w:w="3250" w:type="pct"/>
                        <w:hideMark/>
                      </w:tcPr>
                      <w:p w:rsidR="005A0477" w:rsidRPr="005A0477" w:rsidRDefault="005A0477" w:rsidP="005A0477">
                        <w:pPr>
                          <w:spacing w:after="0" w:line="240" w:lineRule="auto"/>
                          <w:rPr>
                            <w:rFonts w:ascii="Times New Roman" w:eastAsia="Times New Roman" w:hAnsi="Times New Roman" w:cs="Times New Roman"/>
                            <w:sz w:val="24"/>
                            <w:szCs w:val="24"/>
                            <w:lang w:eastAsia="en-GB"/>
                          </w:rPr>
                        </w:pPr>
                        <w:r w:rsidRPr="005A0477">
                          <w:rPr>
                            <w:rFonts w:ascii="Arial" w:eastAsia="Times New Roman" w:hAnsi="Arial" w:cs="Arial"/>
                            <w:sz w:val="24"/>
                            <w:szCs w:val="24"/>
                            <w:lang w:eastAsia="en-GB"/>
                          </w:rPr>
                          <w:t> England and Scotland</w:t>
                        </w:r>
                      </w:p>
                      <w:p w:rsidR="005A0477" w:rsidRPr="005A0477" w:rsidRDefault="005A0477" w:rsidP="005A0477">
                        <w:pPr>
                          <w:spacing w:before="100" w:beforeAutospacing="1" w:after="100" w:afterAutospacing="1" w:line="240" w:lineRule="auto"/>
                          <w:rPr>
                            <w:rFonts w:ascii="Times New Roman" w:eastAsia="Times New Roman" w:hAnsi="Times New Roman" w:cs="Times New Roman"/>
                            <w:sz w:val="24"/>
                            <w:szCs w:val="24"/>
                            <w:lang w:eastAsia="en-GB"/>
                          </w:rPr>
                        </w:pPr>
                        <w:r w:rsidRPr="005A0477">
                          <w:rPr>
                            <w:rFonts w:ascii="Times New Roman" w:eastAsia="Times New Roman" w:hAnsi="Times New Roman" w:cs="Times New Roman"/>
                            <w:sz w:val="24"/>
                            <w:szCs w:val="24"/>
                            <w:lang w:eastAsia="en-GB"/>
                          </w:rPr>
                          <w:t> </w:t>
                        </w:r>
                      </w:p>
                    </w:tc>
                  </w:tr>
                </w:tbl>
                <w:p w:rsidR="005A0477" w:rsidRPr="005A0477" w:rsidRDefault="005A0477" w:rsidP="005A0477">
                  <w:pPr>
                    <w:spacing w:after="0" w:line="240" w:lineRule="auto"/>
                    <w:jc w:val="center"/>
                    <w:rPr>
                      <w:rFonts w:ascii="Times New Roman" w:eastAsia="Times New Roman" w:hAnsi="Times New Roman" w:cs="Times New Roman"/>
                      <w:vanish/>
                      <w:sz w:val="24"/>
                      <w:szCs w:val="24"/>
                      <w:lang w:eastAsia="en-GB"/>
                    </w:rPr>
                  </w:pPr>
                </w:p>
                <w:tbl>
                  <w:tblPr>
                    <w:tblW w:w="5000" w:type="pct"/>
                    <w:jc w:val="center"/>
                    <w:tblCellSpacing w:w="0" w:type="dxa"/>
                    <w:tblCellMar>
                      <w:top w:w="30" w:type="dxa"/>
                      <w:left w:w="30" w:type="dxa"/>
                      <w:bottom w:w="30" w:type="dxa"/>
                      <w:right w:w="30" w:type="dxa"/>
                    </w:tblCellMar>
                    <w:tblLook w:val="04A0"/>
                  </w:tblPr>
                  <w:tblGrid>
                    <w:gridCol w:w="2032"/>
                    <w:gridCol w:w="3775"/>
                  </w:tblGrid>
                  <w:tr w:rsidR="005A0477" w:rsidRPr="005A0477">
                    <w:trPr>
                      <w:tblCellSpacing w:w="0" w:type="dxa"/>
                      <w:jc w:val="center"/>
                    </w:trPr>
                    <w:tc>
                      <w:tcPr>
                        <w:tcW w:w="1750" w:type="pct"/>
                        <w:hideMark/>
                      </w:tcPr>
                      <w:p w:rsidR="005A0477" w:rsidRPr="005A0477" w:rsidRDefault="005A0477" w:rsidP="005A0477">
                        <w:pPr>
                          <w:spacing w:after="0" w:line="240" w:lineRule="auto"/>
                          <w:rPr>
                            <w:rFonts w:ascii="Times New Roman" w:eastAsia="Times New Roman" w:hAnsi="Times New Roman" w:cs="Times New Roman"/>
                            <w:sz w:val="24"/>
                            <w:szCs w:val="24"/>
                            <w:lang w:eastAsia="en-GB"/>
                          </w:rPr>
                        </w:pPr>
                        <w:r w:rsidRPr="005A0477">
                          <w:rPr>
                            <w:rFonts w:ascii="Arial" w:eastAsia="Times New Roman" w:hAnsi="Arial" w:cs="Arial"/>
                            <w:sz w:val="24"/>
                            <w:szCs w:val="24"/>
                            <w:lang w:eastAsia="en-GB"/>
                          </w:rPr>
                          <w:t>Major Battles / Battle Honours:</w:t>
                        </w:r>
                      </w:p>
                    </w:tc>
                    <w:tc>
                      <w:tcPr>
                        <w:tcW w:w="3250" w:type="pct"/>
                        <w:hideMark/>
                      </w:tcPr>
                      <w:p w:rsidR="005A0477" w:rsidRPr="005A0477" w:rsidRDefault="005A0477" w:rsidP="00EF0431">
                        <w:pPr>
                          <w:spacing w:after="0" w:line="240" w:lineRule="auto"/>
                          <w:rPr>
                            <w:rFonts w:ascii="Times New Roman" w:eastAsia="Times New Roman" w:hAnsi="Times New Roman" w:cs="Times New Roman"/>
                            <w:sz w:val="24"/>
                            <w:szCs w:val="24"/>
                            <w:lang w:eastAsia="en-GB"/>
                          </w:rPr>
                        </w:pPr>
                        <w:r w:rsidRPr="005A0477">
                          <w:rPr>
                            <w:rFonts w:ascii="Arial" w:eastAsia="Times New Roman" w:hAnsi="Arial" w:cs="Arial"/>
                            <w:sz w:val="24"/>
                            <w:szCs w:val="24"/>
                            <w:lang w:eastAsia="en-GB"/>
                          </w:rPr>
                          <w:t>The unit was not active as an infantry battalion in front line fighting.</w:t>
                        </w:r>
                        <w:r w:rsidRPr="005A0477">
                          <w:rPr>
                            <w:rFonts w:ascii="Times New Roman" w:eastAsia="Times New Roman" w:hAnsi="Times New Roman" w:cs="Times New Roman"/>
                            <w:sz w:val="24"/>
                            <w:szCs w:val="24"/>
                            <w:lang w:eastAsia="en-GB"/>
                          </w:rPr>
                          <w:t> </w:t>
                        </w:r>
                      </w:p>
                    </w:tc>
                  </w:tr>
                  <w:tr w:rsidR="005A0477" w:rsidRPr="005A0477">
                    <w:trPr>
                      <w:tblCellSpacing w:w="0" w:type="dxa"/>
                      <w:jc w:val="center"/>
                    </w:trPr>
                    <w:tc>
                      <w:tcPr>
                        <w:tcW w:w="1750" w:type="pct"/>
                        <w:vAlign w:val="center"/>
                        <w:hideMark/>
                      </w:tcPr>
                      <w:p w:rsidR="005A0477" w:rsidRPr="005A0477" w:rsidRDefault="005A0477" w:rsidP="005A0477">
                        <w:pPr>
                          <w:spacing w:after="0" w:line="240" w:lineRule="auto"/>
                          <w:rPr>
                            <w:rFonts w:ascii="Times New Roman" w:eastAsia="Times New Roman" w:hAnsi="Times New Roman" w:cs="Times New Roman"/>
                            <w:sz w:val="24"/>
                            <w:szCs w:val="24"/>
                            <w:lang w:eastAsia="en-GB"/>
                          </w:rPr>
                        </w:pPr>
                      </w:p>
                    </w:tc>
                    <w:tc>
                      <w:tcPr>
                        <w:tcW w:w="3250" w:type="pct"/>
                        <w:vAlign w:val="center"/>
                        <w:hideMark/>
                      </w:tcPr>
                      <w:p w:rsidR="005A0477" w:rsidRPr="005A0477" w:rsidRDefault="005A0477" w:rsidP="005A0477">
                        <w:pPr>
                          <w:spacing w:after="0" w:line="240" w:lineRule="auto"/>
                          <w:rPr>
                            <w:rFonts w:ascii="Times New Roman" w:eastAsia="Times New Roman" w:hAnsi="Times New Roman" w:cs="Times New Roman"/>
                            <w:sz w:val="24"/>
                            <w:szCs w:val="24"/>
                            <w:lang w:eastAsia="en-GB"/>
                          </w:rPr>
                        </w:pPr>
                      </w:p>
                    </w:tc>
                  </w:tr>
                </w:tbl>
                <w:p w:rsidR="005A0477" w:rsidRPr="005A0477" w:rsidRDefault="005A0477" w:rsidP="005A0477">
                  <w:pPr>
                    <w:spacing w:after="0" w:line="240" w:lineRule="auto"/>
                    <w:jc w:val="center"/>
                    <w:rPr>
                      <w:rFonts w:ascii="Times New Roman" w:eastAsia="Times New Roman" w:hAnsi="Times New Roman" w:cs="Times New Roman"/>
                      <w:vanish/>
                      <w:sz w:val="24"/>
                      <w:szCs w:val="24"/>
                      <w:lang w:eastAsia="en-GB"/>
                    </w:rPr>
                  </w:pPr>
                </w:p>
                <w:tbl>
                  <w:tblPr>
                    <w:tblW w:w="5000" w:type="pct"/>
                    <w:jc w:val="center"/>
                    <w:tblCellSpacing w:w="0" w:type="dxa"/>
                    <w:tblCellMar>
                      <w:top w:w="30" w:type="dxa"/>
                      <w:left w:w="30" w:type="dxa"/>
                      <w:bottom w:w="30" w:type="dxa"/>
                      <w:right w:w="30" w:type="dxa"/>
                    </w:tblCellMar>
                    <w:tblLook w:val="04A0"/>
                  </w:tblPr>
                  <w:tblGrid>
                    <w:gridCol w:w="2032"/>
                    <w:gridCol w:w="3775"/>
                  </w:tblGrid>
                  <w:tr w:rsidR="005A0477" w:rsidRPr="005A0477">
                    <w:trPr>
                      <w:tblCellSpacing w:w="0" w:type="dxa"/>
                      <w:jc w:val="center"/>
                    </w:trPr>
                    <w:tc>
                      <w:tcPr>
                        <w:tcW w:w="1750" w:type="pct"/>
                        <w:hideMark/>
                      </w:tcPr>
                      <w:p w:rsidR="005A0477" w:rsidRPr="005A0477" w:rsidRDefault="005A0477" w:rsidP="005A0477">
                        <w:pPr>
                          <w:spacing w:after="0" w:line="240" w:lineRule="auto"/>
                          <w:rPr>
                            <w:rFonts w:ascii="Times New Roman" w:eastAsia="Times New Roman" w:hAnsi="Times New Roman" w:cs="Times New Roman"/>
                            <w:sz w:val="24"/>
                            <w:szCs w:val="24"/>
                            <w:lang w:eastAsia="en-GB"/>
                          </w:rPr>
                        </w:pPr>
                      </w:p>
                    </w:tc>
                    <w:tc>
                      <w:tcPr>
                        <w:tcW w:w="3250" w:type="pct"/>
                        <w:vAlign w:val="center"/>
                        <w:hideMark/>
                      </w:tcPr>
                      <w:p w:rsidR="005A0477" w:rsidRPr="005A0477" w:rsidRDefault="005A0477" w:rsidP="005A0477">
                        <w:pPr>
                          <w:spacing w:after="0" w:line="240" w:lineRule="auto"/>
                          <w:rPr>
                            <w:rFonts w:ascii="Times New Roman" w:eastAsia="Times New Roman" w:hAnsi="Times New Roman" w:cs="Times New Roman"/>
                            <w:sz w:val="24"/>
                            <w:szCs w:val="24"/>
                            <w:lang w:eastAsia="en-GB"/>
                          </w:rPr>
                        </w:pPr>
                      </w:p>
                    </w:tc>
                  </w:tr>
                </w:tbl>
                <w:p w:rsidR="005A0477" w:rsidRPr="005A0477" w:rsidRDefault="005A0477" w:rsidP="005A0477">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5A0477">
                    <w:rPr>
                      <w:rFonts w:ascii="Arial" w:eastAsia="Times New Roman" w:hAnsi="Arial" w:cs="Arial"/>
                      <w:b/>
                      <w:bCs/>
                      <w:color w:val="663333"/>
                      <w:sz w:val="27"/>
                      <w:szCs w:val="27"/>
                      <w:lang w:eastAsia="en-GB"/>
                    </w:rPr>
                    <w:t>Background:</w:t>
                  </w:r>
                </w:p>
                <w:tbl>
                  <w:tblPr>
                    <w:tblW w:w="5000" w:type="pct"/>
                    <w:jc w:val="center"/>
                    <w:tblCellSpacing w:w="0" w:type="dxa"/>
                    <w:tblCellMar>
                      <w:top w:w="30" w:type="dxa"/>
                      <w:left w:w="30" w:type="dxa"/>
                      <w:bottom w:w="30" w:type="dxa"/>
                      <w:right w:w="30" w:type="dxa"/>
                    </w:tblCellMar>
                    <w:tblLook w:val="04A0"/>
                  </w:tblPr>
                  <w:tblGrid>
                    <w:gridCol w:w="5807"/>
                  </w:tblGrid>
                  <w:tr w:rsidR="005A0477" w:rsidRPr="005A0477">
                    <w:trPr>
                      <w:tblCellSpacing w:w="0" w:type="dxa"/>
                      <w:jc w:val="center"/>
                    </w:trPr>
                    <w:tc>
                      <w:tcPr>
                        <w:tcW w:w="5000" w:type="pct"/>
                        <w:vAlign w:val="center"/>
                        <w:hideMark/>
                      </w:tcPr>
                      <w:p w:rsidR="005A0477" w:rsidRPr="005A0477" w:rsidRDefault="005A0477" w:rsidP="005A0477">
                        <w:pPr>
                          <w:spacing w:after="0" w:line="240" w:lineRule="auto"/>
                          <w:rPr>
                            <w:rFonts w:ascii="Times New Roman" w:eastAsia="Times New Roman" w:hAnsi="Times New Roman" w:cs="Times New Roman"/>
                            <w:sz w:val="24"/>
                            <w:szCs w:val="24"/>
                            <w:lang w:eastAsia="en-GB"/>
                          </w:rPr>
                        </w:pPr>
                        <w:r w:rsidRPr="005A0477">
                          <w:rPr>
                            <w:rFonts w:ascii="Arial" w:eastAsia="Times New Roman" w:hAnsi="Arial" w:cs="Arial"/>
                            <w:sz w:val="24"/>
                            <w:szCs w:val="24"/>
                            <w:lang w:eastAsia="en-GB"/>
                          </w:rPr>
                          <w:t>Stewart reports that the 238th Infantry Battalion was absorbed by the Canadian Forestry Corps.</w:t>
                        </w:r>
                      </w:p>
                      <w:p w:rsidR="005A0477" w:rsidRPr="005A0477" w:rsidRDefault="005A0477" w:rsidP="005A0477">
                        <w:pPr>
                          <w:spacing w:before="100" w:beforeAutospacing="1" w:after="100" w:afterAutospacing="1" w:line="240" w:lineRule="auto"/>
                          <w:rPr>
                            <w:rFonts w:ascii="Times New Roman" w:eastAsia="Times New Roman" w:hAnsi="Times New Roman" w:cs="Times New Roman"/>
                            <w:sz w:val="24"/>
                            <w:szCs w:val="24"/>
                            <w:lang w:eastAsia="en-GB"/>
                          </w:rPr>
                        </w:pPr>
                        <w:r w:rsidRPr="005A0477">
                          <w:rPr>
                            <w:rFonts w:ascii="Arial" w:eastAsia="Times New Roman" w:hAnsi="Arial" w:cs="Arial"/>
                            <w:sz w:val="24"/>
                            <w:szCs w:val="24"/>
                            <w:lang w:val="en-US" w:eastAsia="en-GB"/>
                          </w:rPr>
                          <w:t>From Library and Archives Canada we find a number of items listed but none of them are available on-line:</w:t>
                        </w:r>
                      </w:p>
                      <w:tbl>
                        <w:tblPr>
                          <w:tblW w:w="5000" w:type="pct"/>
                          <w:tblCellSpacing w:w="0" w:type="dxa"/>
                          <w:tblCellMar>
                            <w:left w:w="0" w:type="dxa"/>
                            <w:right w:w="0" w:type="dxa"/>
                          </w:tblCellMar>
                          <w:tblLook w:val="04A0"/>
                        </w:tblPr>
                        <w:tblGrid>
                          <w:gridCol w:w="240"/>
                          <w:gridCol w:w="5507"/>
                        </w:tblGrid>
                        <w:tr w:rsidR="005A0477" w:rsidRPr="005A0477">
                          <w:trPr>
                            <w:tblCellSpacing w:w="0" w:type="dxa"/>
                          </w:trPr>
                          <w:tc>
                            <w:tcPr>
                              <w:tcW w:w="630" w:type="dxa"/>
                              <w:hideMark/>
                            </w:tcPr>
                            <w:p w:rsidR="005A0477" w:rsidRPr="005A0477" w:rsidRDefault="005A0477" w:rsidP="005A0477">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drawing>
                                  <wp:inline distT="0" distB="0" distL="0" distR="0">
                                    <wp:extent cx="142875" cy="142875"/>
                                    <wp:effectExtent l="0" t="0" r="9525" b="0"/>
                                    <wp:docPr id="8" name="Picture 8" descr="http://www.cefresearch.com/matrix/_themes/tabs/atabbul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cefresearch.com/matrix/_themes/tabs/atabbul1.gif"/>
                                            <pic:cNvPicPr>
                                              <a:picLocks noChangeAspect="1" noChangeArrowheads="1"/>
                                            </pic:cNvPicPr>
                                          </pic:nvPicPr>
                                          <pic:blipFill>
                                            <a:blip r:embed="rId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p>
                          </w:tc>
                          <w:tc>
                            <w:tcPr>
                              <w:tcW w:w="5000" w:type="pct"/>
                              <w:hideMark/>
                            </w:tcPr>
                            <w:p w:rsidR="005A0477" w:rsidRPr="005A0477" w:rsidRDefault="005A0477" w:rsidP="005A0477">
                              <w:pPr>
                                <w:spacing w:after="0" w:line="240" w:lineRule="auto"/>
                                <w:rPr>
                                  <w:rFonts w:ascii="Times New Roman" w:eastAsia="Times New Roman" w:hAnsi="Times New Roman" w:cs="Times New Roman"/>
                                  <w:sz w:val="24"/>
                                  <w:szCs w:val="24"/>
                                  <w:lang w:eastAsia="en-GB"/>
                                </w:rPr>
                              </w:pPr>
                              <w:hyperlink r:id="rId8" w:history="1">
                                <w:r w:rsidRPr="005A0477">
                                  <w:rPr>
                                    <w:rFonts w:ascii="Arial" w:eastAsia="Times New Roman" w:hAnsi="Arial" w:cs="Arial"/>
                                    <w:color w:val="0000FF"/>
                                    <w:sz w:val="24"/>
                                    <w:szCs w:val="24"/>
                                    <w:u w:val="single"/>
                                    <w:lang w:val="en-US" w:eastAsia="en-GB"/>
                                  </w:rPr>
                                  <w:t>238th Battalion, Canadian Forestry Corps.</w:t>
                                </w:r>
                              </w:hyperlink>
                            </w:p>
                          </w:tc>
                        </w:tr>
                      </w:tbl>
                      <w:p w:rsidR="005A0477" w:rsidRPr="005A0477" w:rsidRDefault="005A0477" w:rsidP="005A0477">
                        <w:pPr>
                          <w:spacing w:before="100" w:beforeAutospacing="1" w:after="100" w:afterAutospacing="1" w:line="240" w:lineRule="auto"/>
                          <w:rPr>
                            <w:rFonts w:ascii="Times New Roman" w:eastAsia="Times New Roman" w:hAnsi="Times New Roman" w:cs="Times New Roman"/>
                            <w:sz w:val="24"/>
                            <w:szCs w:val="24"/>
                            <w:lang w:eastAsia="en-GB"/>
                          </w:rPr>
                        </w:pPr>
                        <w:r w:rsidRPr="005A0477">
                          <w:rPr>
                            <w:rFonts w:ascii="Arial" w:eastAsia="Times New Roman" w:hAnsi="Arial" w:cs="Arial"/>
                            <w:sz w:val="24"/>
                            <w:szCs w:val="24"/>
                            <w:lang w:eastAsia="en-GB"/>
                          </w:rPr>
                          <w:t>CEFSG member Stuart has kindly provided this information for the Group:</w:t>
                        </w:r>
                      </w:p>
                      <w:p w:rsidR="005A0477" w:rsidRPr="005A0477" w:rsidRDefault="005A0477" w:rsidP="005A0477">
                        <w:pPr>
                          <w:spacing w:beforeAutospacing="1" w:after="100" w:afterAutospacing="1" w:line="240" w:lineRule="auto"/>
                          <w:rPr>
                            <w:rFonts w:ascii="Times New Roman" w:eastAsia="Times New Roman" w:hAnsi="Times New Roman" w:cs="Times New Roman"/>
                            <w:sz w:val="24"/>
                            <w:szCs w:val="24"/>
                            <w:lang w:eastAsia="en-GB"/>
                          </w:rPr>
                        </w:pPr>
                        <w:r w:rsidRPr="005A0477">
                          <w:rPr>
                            <w:rFonts w:ascii="Arial" w:eastAsia="Times New Roman" w:hAnsi="Arial" w:cs="Arial"/>
                            <w:sz w:val="20"/>
                            <w:szCs w:val="20"/>
                            <w:lang w:eastAsia="en-GB"/>
                          </w:rPr>
                          <w:t xml:space="preserve">On 11th September 1916, the 238th Canadian Forestry Battalion, with </w:t>
                        </w:r>
                        <w:proofErr w:type="gramStart"/>
                        <w:r w:rsidRPr="005A0477">
                          <w:rPr>
                            <w:rFonts w:ascii="Arial" w:eastAsia="Times New Roman" w:hAnsi="Arial" w:cs="Arial"/>
                            <w:sz w:val="20"/>
                            <w:szCs w:val="20"/>
                            <w:lang w:eastAsia="en-GB"/>
                          </w:rPr>
                          <w:t>a strength</w:t>
                        </w:r>
                        <w:proofErr w:type="gramEnd"/>
                        <w:r w:rsidRPr="005A0477">
                          <w:rPr>
                            <w:rFonts w:ascii="Arial" w:eastAsia="Times New Roman" w:hAnsi="Arial" w:cs="Arial"/>
                            <w:sz w:val="20"/>
                            <w:szCs w:val="20"/>
                            <w:lang w:eastAsia="en-GB"/>
                          </w:rPr>
                          <w:t xml:space="preserve"> of 44 officers and 1082 other ranks, embarked at Halifax and arrived at Liverpool on 22nd September. From thence it was conveyed by three trains to </w:t>
                        </w:r>
                        <w:proofErr w:type="spellStart"/>
                        <w:r w:rsidRPr="005A0477">
                          <w:rPr>
                            <w:rFonts w:ascii="Arial" w:eastAsia="Times New Roman" w:hAnsi="Arial" w:cs="Arial"/>
                            <w:sz w:val="20"/>
                            <w:szCs w:val="20"/>
                            <w:lang w:eastAsia="en-GB"/>
                          </w:rPr>
                          <w:t>Witley</w:t>
                        </w:r>
                        <w:proofErr w:type="spellEnd"/>
                        <w:r w:rsidRPr="005A0477">
                          <w:rPr>
                            <w:rFonts w:ascii="Arial" w:eastAsia="Times New Roman" w:hAnsi="Arial" w:cs="Arial"/>
                            <w:sz w:val="20"/>
                            <w:szCs w:val="20"/>
                            <w:lang w:eastAsia="en-GB"/>
                          </w:rPr>
                          <w:t xml:space="preserve"> Camp, Surrey, where training and organization were continued. </w:t>
                        </w:r>
                        <w:r w:rsidRPr="005A0477">
                          <w:rPr>
                            <w:rFonts w:ascii="Arial" w:eastAsia="Times New Roman" w:hAnsi="Arial" w:cs="Arial"/>
                            <w:sz w:val="20"/>
                            <w:szCs w:val="20"/>
                            <w:lang w:eastAsia="en-GB"/>
                          </w:rPr>
                          <w:br/>
                        </w:r>
                        <w:r w:rsidRPr="005A0477">
                          <w:rPr>
                            <w:rFonts w:ascii="Arial" w:eastAsia="Times New Roman" w:hAnsi="Arial" w:cs="Arial"/>
                            <w:sz w:val="20"/>
                            <w:szCs w:val="20"/>
                            <w:lang w:eastAsia="en-GB"/>
                          </w:rPr>
                          <w:br/>
                          <w:t>The Battalion was gradually broken up, the following moves taking place: </w:t>
                        </w:r>
                        <w:r w:rsidRPr="005A0477">
                          <w:rPr>
                            <w:rFonts w:ascii="Arial" w:eastAsia="Times New Roman" w:hAnsi="Arial" w:cs="Arial"/>
                            <w:sz w:val="20"/>
                            <w:szCs w:val="20"/>
                            <w:lang w:eastAsia="en-GB"/>
                          </w:rPr>
                          <w:br/>
                        </w:r>
                        <w:r w:rsidRPr="005A0477">
                          <w:rPr>
                            <w:rFonts w:ascii="Arial" w:eastAsia="Times New Roman" w:hAnsi="Arial" w:cs="Arial"/>
                            <w:sz w:val="20"/>
                            <w:szCs w:val="20"/>
                            <w:lang w:eastAsia="en-GB"/>
                          </w:rPr>
                          <w:br/>
                          <w:t xml:space="preserve">18th October 1916: 2 officers and 89 other ranks proceeded to </w:t>
                        </w:r>
                        <w:proofErr w:type="spellStart"/>
                        <w:r w:rsidRPr="005A0477">
                          <w:rPr>
                            <w:rFonts w:ascii="Arial" w:eastAsia="Times New Roman" w:hAnsi="Arial" w:cs="Arial"/>
                            <w:sz w:val="20"/>
                            <w:szCs w:val="20"/>
                            <w:lang w:eastAsia="en-GB"/>
                          </w:rPr>
                          <w:t>Whittingham</w:t>
                        </w:r>
                        <w:proofErr w:type="spellEnd"/>
                        <w:r w:rsidRPr="005A0477">
                          <w:rPr>
                            <w:rFonts w:ascii="Arial" w:eastAsia="Times New Roman" w:hAnsi="Arial" w:cs="Arial"/>
                            <w:sz w:val="20"/>
                            <w:szCs w:val="20"/>
                            <w:lang w:eastAsia="en-GB"/>
                          </w:rPr>
                          <w:t xml:space="preserve">, Northumberland and 2 officers and 87 other ranks to </w:t>
                        </w:r>
                        <w:proofErr w:type="spellStart"/>
                        <w:r w:rsidRPr="005A0477">
                          <w:rPr>
                            <w:rFonts w:ascii="Arial" w:eastAsia="Times New Roman" w:hAnsi="Arial" w:cs="Arial"/>
                            <w:sz w:val="20"/>
                            <w:szCs w:val="20"/>
                            <w:lang w:eastAsia="en-GB"/>
                          </w:rPr>
                          <w:t>Riddings</w:t>
                        </w:r>
                        <w:proofErr w:type="spellEnd"/>
                        <w:r w:rsidRPr="005A0477">
                          <w:rPr>
                            <w:rFonts w:ascii="Arial" w:eastAsia="Times New Roman" w:hAnsi="Arial" w:cs="Arial"/>
                            <w:sz w:val="20"/>
                            <w:szCs w:val="20"/>
                            <w:lang w:eastAsia="en-GB"/>
                          </w:rPr>
                          <w:t xml:space="preserve"> Junction, Cumberland to prepare camps for the reception of the balance of their respective companies. </w:t>
                        </w:r>
                        <w:r w:rsidRPr="005A0477">
                          <w:rPr>
                            <w:rFonts w:ascii="Arial" w:eastAsia="Times New Roman" w:hAnsi="Arial" w:cs="Arial"/>
                            <w:sz w:val="20"/>
                            <w:szCs w:val="20"/>
                            <w:lang w:eastAsia="en-GB"/>
                          </w:rPr>
                          <w:br/>
                        </w:r>
                        <w:r w:rsidRPr="005A0477">
                          <w:rPr>
                            <w:rFonts w:ascii="Arial" w:eastAsia="Times New Roman" w:hAnsi="Arial" w:cs="Arial"/>
                            <w:sz w:val="20"/>
                            <w:szCs w:val="20"/>
                            <w:lang w:eastAsia="en-GB"/>
                          </w:rPr>
                          <w:br/>
                          <w:t>26th November 1916: 141 other ranks and officers proceeded to France to engage in Forestry Work. </w:t>
                        </w:r>
                        <w:r w:rsidRPr="005A0477">
                          <w:rPr>
                            <w:rFonts w:ascii="Arial" w:eastAsia="Times New Roman" w:hAnsi="Arial" w:cs="Arial"/>
                            <w:sz w:val="20"/>
                            <w:szCs w:val="20"/>
                            <w:lang w:eastAsia="en-GB"/>
                          </w:rPr>
                          <w:br/>
                        </w:r>
                        <w:r w:rsidRPr="005A0477">
                          <w:rPr>
                            <w:rFonts w:ascii="Arial" w:eastAsia="Times New Roman" w:hAnsi="Arial" w:cs="Arial"/>
                            <w:sz w:val="20"/>
                            <w:szCs w:val="20"/>
                            <w:lang w:eastAsia="en-GB"/>
                          </w:rPr>
                          <w:br/>
                          <w:t xml:space="preserve">2nd December 1916: 1 officer and 50 other ranks proceeded to Virginia Water, Surrey; 4 officers and 156 other ranks to Castle </w:t>
                        </w:r>
                        <w:r w:rsidRPr="005A0477">
                          <w:rPr>
                            <w:rFonts w:ascii="Arial" w:eastAsia="Times New Roman" w:hAnsi="Arial" w:cs="Arial"/>
                            <w:sz w:val="20"/>
                            <w:szCs w:val="20"/>
                            <w:lang w:eastAsia="en-GB"/>
                          </w:rPr>
                          <w:lastRenderedPageBreak/>
                          <w:t xml:space="preserve">Douglas, Scotland; 4 officers and 25 other ranks to </w:t>
                        </w:r>
                        <w:proofErr w:type="spellStart"/>
                        <w:r w:rsidRPr="005A0477">
                          <w:rPr>
                            <w:rFonts w:ascii="Arial" w:eastAsia="Times New Roman" w:hAnsi="Arial" w:cs="Arial"/>
                            <w:sz w:val="20"/>
                            <w:szCs w:val="20"/>
                            <w:lang w:eastAsia="en-GB"/>
                          </w:rPr>
                          <w:t>Bagshot</w:t>
                        </w:r>
                        <w:proofErr w:type="spellEnd"/>
                        <w:r w:rsidRPr="005A0477">
                          <w:rPr>
                            <w:rFonts w:ascii="Arial" w:eastAsia="Times New Roman" w:hAnsi="Arial" w:cs="Arial"/>
                            <w:sz w:val="20"/>
                            <w:szCs w:val="20"/>
                            <w:lang w:eastAsia="en-GB"/>
                          </w:rPr>
                          <w:t>, Surrey. </w:t>
                        </w:r>
                        <w:r w:rsidRPr="005A0477">
                          <w:rPr>
                            <w:rFonts w:ascii="Arial" w:eastAsia="Times New Roman" w:hAnsi="Arial" w:cs="Arial"/>
                            <w:sz w:val="20"/>
                            <w:szCs w:val="20"/>
                            <w:lang w:eastAsia="en-GB"/>
                          </w:rPr>
                          <w:br/>
                        </w:r>
                        <w:r w:rsidRPr="005A0477">
                          <w:rPr>
                            <w:rFonts w:ascii="Arial" w:eastAsia="Times New Roman" w:hAnsi="Arial" w:cs="Arial"/>
                            <w:sz w:val="20"/>
                            <w:szCs w:val="20"/>
                            <w:lang w:eastAsia="en-GB"/>
                          </w:rPr>
                          <w:br/>
                          <w:t xml:space="preserve">7th December 1916: the detachment operating at </w:t>
                        </w:r>
                        <w:proofErr w:type="spellStart"/>
                        <w:r w:rsidRPr="005A0477">
                          <w:rPr>
                            <w:rFonts w:ascii="Arial" w:eastAsia="Times New Roman" w:hAnsi="Arial" w:cs="Arial"/>
                            <w:sz w:val="20"/>
                            <w:szCs w:val="20"/>
                            <w:lang w:eastAsia="en-GB"/>
                          </w:rPr>
                          <w:t>Riddings</w:t>
                        </w:r>
                        <w:proofErr w:type="spellEnd"/>
                        <w:r w:rsidRPr="005A0477">
                          <w:rPr>
                            <w:rFonts w:ascii="Arial" w:eastAsia="Times New Roman" w:hAnsi="Arial" w:cs="Arial"/>
                            <w:sz w:val="20"/>
                            <w:szCs w:val="20"/>
                            <w:lang w:eastAsia="en-GB"/>
                          </w:rPr>
                          <w:t xml:space="preserve"> Junction was reinforced by the balance of the original company. </w:t>
                        </w:r>
                        <w:r w:rsidRPr="005A0477">
                          <w:rPr>
                            <w:rFonts w:ascii="Arial" w:eastAsia="Times New Roman" w:hAnsi="Arial" w:cs="Arial"/>
                            <w:sz w:val="20"/>
                            <w:szCs w:val="20"/>
                            <w:lang w:eastAsia="en-GB"/>
                          </w:rPr>
                          <w:br/>
                        </w:r>
                        <w:r w:rsidRPr="005A0477">
                          <w:rPr>
                            <w:rFonts w:ascii="Arial" w:eastAsia="Times New Roman" w:hAnsi="Arial" w:cs="Arial"/>
                            <w:sz w:val="20"/>
                            <w:szCs w:val="20"/>
                            <w:lang w:eastAsia="en-GB"/>
                          </w:rPr>
                          <w:br/>
                          <w:t xml:space="preserve">In December 1916, the balance of the 238th Forestry Battalion then left at </w:t>
                        </w:r>
                        <w:proofErr w:type="spellStart"/>
                        <w:r w:rsidRPr="005A0477">
                          <w:rPr>
                            <w:rFonts w:ascii="Arial" w:eastAsia="Times New Roman" w:hAnsi="Arial" w:cs="Arial"/>
                            <w:sz w:val="20"/>
                            <w:szCs w:val="20"/>
                            <w:lang w:eastAsia="en-GB"/>
                          </w:rPr>
                          <w:t>Witley</w:t>
                        </w:r>
                        <w:proofErr w:type="spellEnd"/>
                        <w:r w:rsidRPr="005A0477">
                          <w:rPr>
                            <w:rFonts w:ascii="Arial" w:eastAsia="Times New Roman" w:hAnsi="Arial" w:cs="Arial"/>
                            <w:sz w:val="20"/>
                            <w:szCs w:val="20"/>
                            <w:lang w:eastAsia="en-GB"/>
                          </w:rPr>
                          <w:t xml:space="preserve"> Camp, was transferred to the Canadian Forestry Corps and was known as the Base Details Detachment. </w:t>
                        </w:r>
                        <w:r w:rsidRPr="005A0477">
                          <w:rPr>
                            <w:rFonts w:ascii="Arial" w:eastAsia="Times New Roman" w:hAnsi="Arial" w:cs="Arial"/>
                            <w:sz w:val="20"/>
                            <w:szCs w:val="20"/>
                            <w:lang w:eastAsia="en-GB"/>
                          </w:rPr>
                          <w:br/>
                        </w:r>
                        <w:r w:rsidRPr="005A0477">
                          <w:rPr>
                            <w:rFonts w:ascii="Arial" w:eastAsia="Times New Roman" w:hAnsi="Arial" w:cs="Arial"/>
                            <w:sz w:val="20"/>
                            <w:szCs w:val="20"/>
                            <w:lang w:eastAsia="en-GB"/>
                          </w:rPr>
                          <w:br/>
                          <w:t xml:space="preserve">Scotland and England were divided into three Forestry Districts, No. 2 District (re-designated No. 52 District) being assigned to the late 238th Battalion, the Headquarters of which were moved on 6th December 1916 to Orton Park, near Carlisle, under the direction of Lieut.-Col. W.R. Smyth. In this District, operations were then being carried out at </w:t>
                        </w:r>
                        <w:proofErr w:type="spellStart"/>
                        <w:r w:rsidRPr="005A0477">
                          <w:rPr>
                            <w:rFonts w:ascii="Arial" w:eastAsia="Times New Roman" w:hAnsi="Arial" w:cs="Arial"/>
                            <w:sz w:val="20"/>
                            <w:szCs w:val="20"/>
                            <w:lang w:eastAsia="en-GB"/>
                          </w:rPr>
                          <w:t>Dalston</w:t>
                        </w:r>
                        <w:proofErr w:type="spellEnd"/>
                        <w:r w:rsidRPr="005A0477">
                          <w:rPr>
                            <w:rFonts w:ascii="Arial" w:eastAsia="Times New Roman" w:hAnsi="Arial" w:cs="Arial"/>
                            <w:sz w:val="20"/>
                            <w:szCs w:val="20"/>
                            <w:lang w:eastAsia="en-GB"/>
                          </w:rPr>
                          <w:t xml:space="preserve">, near Carlisle; at </w:t>
                        </w:r>
                        <w:proofErr w:type="spellStart"/>
                        <w:r w:rsidRPr="005A0477">
                          <w:rPr>
                            <w:rFonts w:ascii="Arial" w:eastAsia="Times New Roman" w:hAnsi="Arial" w:cs="Arial"/>
                            <w:sz w:val="20"/>
                            <w:szCs w:val="20"/>
                            <w:lang w:eastAsia="en-GB"/>
                          </w:rPr>
                          <w:t>Riddings</w:t>
                        </w:r>
                        <w:proofErr w:type="spellEnd"/>
                        <w:r w:rsidRPr="005A0477">
                          <w:rPr>
                            <w:rFonts w:ascii="Arial" w:eastAsia="Times New Roman" w:hAnsi="Arial" w:cs="Arial"/>
                            <w:sz w:val="20"/>
                            <w:szCs w:val="20"/>
                            <w:lang w:eastAsia="en-GB"/>
                          </w:rPr>
                          <w:t xml:space="preserve"> Junction, on the </w:t>
                        </w:r>
                        <w:proofErr w:type="spellStart"/>
                        <w:r w:rsidRPr="005A0477">
                          <w:rPr>
                            <w:rFonts w:ascii="Arial" w:eastAsia="Times New Roman" w:hAnsi="Arial" w:cs="Arial"/>
                            <w:sz w:val="20"/>
                            <w:szCs w:val="20"/>
                            <w:lang w:eastAsia="en-GB"/>
                          </w:rPr>
                          <w:t>Netherby</w:t>
                        </w:r>
                        <w:proofErr w:type="spellEnd"/>
                        <w:r w:rsidRPr="005A0477">
                          <w:rPr>
                            <w:rFonts w:ascii="Arial" w:eastAsia="Times New Roman" w:hAnsi="Arial" w:cs="Arial"/>
                            <w:sz w:val="20"/>
                            <w:szCs w:val="20"/>
                            <w:lang w:eastAsia="en-GB"/>
                          </w:rPr>
                          <w:t xml:space="preserve"> Estate; at Castle Douglas, in Scotland; and at </w:t>
                        </w:r>
                        <w:proofErr w:type="spellStart"/>
                        <w:r w:rsidRPr="005A0477">
                          <w:rPr>
                            <w:rFonts w:ascii="Arial" w:eastAsia="Times New Roman" w:hAnsi="Arial" w:cs="Arial"/>
                            <w:sz w:val="20"/>
                            <w:szCs w:val="20"/>
                            <w:lang w:eastAsia="en-GB"/>
                          </w:rPr>
                          <w:t>Whittingham</w:t>
                        </w:r>
                        <w:proofErr w:type="spellEnd"/>
                        <w:r w:rsidRPr="005A0477">
                          <w:rPr>
                            <w:rFonts w:ascii="Arial" w:eastAsia="Times New Roman" w:hAnsi="Arial" w:cs="Arial"/>
                            <w:sz w:val="20"/>
                            <w:szCs w:val="20"/>
                            <w:lang w:eastAsia="en-GB"/>
                          </w:rPr>
                          <w:t>, 35 miles north-west of Newcastle.</w:t>
                        </w:r>
                      </w:p>
                      <w:p w:rsidR="005A0477" w:rsidRPr="005A0477" w:rsidRDefault="005A0477" w:rsidP="005A0477">
                        <w:pPr>
                          <w:spacing w:before="100" w:beforeAutospacing="1" w:after="100" w:afterAutospacing="1" w:line="240" w:lineRule="auto"/>
                          <w:rPr>
                            <w:rFonts w:ascii="Times New Roman" w:eastAsia="Times New Roman" w:hAnsi="Times New Roman" w:cs="Times New Roman"/>
                            <w:sz w:val="24"/>
                            <w:szCs w:val="24"/>
                            <w:lang w:eastAsia="en-GB"/>
                          </w:rPr>
                        </w:pPr>
                        <w:r w:rsidRPr="005A0477">
                          <w:rPr>
                            <w:rFonts w:ascii="Arial" w:eastAsia="Times New Roman" w:hAnsi="Arial" w:cs="Arial"/>
                            <w:sz w:val="20"/>
                            <w:szCs w:val="20"/>
                            <w:lang w:eastAsia="en-GB"/>
                          </w:rPr>
                          <w:t>Lieut.-Col. W.R. Smyth, remained in charge until he was promoted on 9th September 1917, to be Acting Deputy Assistant Director of Timber Operations, after which, Major C.V. Campbell was made First in Command of this District and Major G.B. Hull, Second in Command. </w:t>
                        </w:r>
                        <w:r w:rsidRPr="005A0477">
                          <w:rPr>
                            <w:rFonts w:ascii="Arial" w:eastAsia="Times New Roman" w:hAnsi="Arial" w:cs="Arial"/>
                            <w:sz w:val="20"/>
                            <w:szCs w:val="20"/>
                            <w:lang w:eastAsia="en-GB"/>
                          </w:rPr>
                          <w:br/>
                        </w:r>
                        <w:r w:rsidRPr="005A0477">
                          <w:rPr>
                            <w:rFonts w:ascii="Arial" w:eastAsia="Times New Roman" w:hAnsi="Arial" w:cs="Arial"/>
                            <w:sz w:val="20"/>
                            <w:szCs w:val="20"/>
                            <w:lang w:eastAsia="en-GB"/>
                          </w:rPr>
                          <w:br/>
                          <w:t>I have a little detail on two of the companies derived from the 238th Battalion: </w:t>
                        </w:r>
                        <w:r w:rsidRPr="005A0477">
                          <w:rPr>
                            <w:rFonts w:ascii="Arial" w:eastAsia="Times New Roman" w:hAnsi="Arial" w:cs="Arial"/>
                            <w:sz w:val="20"/>
                            <w:szCs w:val="20"/>
                            <w:lang w:eastAsia="en-GB"/>
                          </w:rPr>
                          <w:br/>
                        </w:r>
                        <w:r w:rsidRPr="005A0477">
                          <w:rPr>
                            <w:rFonts w:ascii="Arial" w:eastAsia="Times New Roman" w:hAnsi="Arial" w:cs="Arial"/>
                            <w:sz w:val="20"/>
                            <w:szCs w:val="20"/>
                            <w:lang w:eastAsia="en-GB"/>
                          </w:rPr>
                          <w:br/>
                          <w:t xml:space="preserve">No.111 Company (formerly 'F' </w:t>
                        </w:r>
                        <w:proofErr w:type="gramStart"/>
                        <w:r w:rsidRPr="005A0477">
                          <w:rPr>
                            <w:rFonts w:ascii="Arial" w:eastAsia="Times New Roman" w:hAnsi="Arial" w:cs="Arial"/>
                            <w:sz w:val="20"/>
                            <w:szCs w:val="20"/>
                            <w:lang w:eastAsia="en-GB"/>
                          </w:rPr>
                          <w:t>Coy.,</w:t>
                        </w:r>
                        <w:proofErr w:type="gramEnd"/>
                        <w:r w:rsidRPr="005A0477">
                          <w:rPr>
                            <w:rFonts w:ascii="Arial" w:eastAsia="Times New Roman" w:hAnsi="Arial" w:cs="Arial"/>
                            <w:sz w:val="20"/>
                            <w:szCs w:val="20"/>
                            <w:lang w:eastAsia="en-GB"/>
                          </w:rPr>
                          <w:t xml:space="preserve"> 238th Forestry Battalion) was based at Castle Douglas, south-west Scotland. The Company arrived on 3rd December 1916 to take over previous operations from the 224th Battalion. Captain Ramsay was in command. Other officers were Capt. J.H. Johnston, </w:t>
                        </w:r>
                        <w:proofErr w:type="spellStart"/>
                        <w:r w:rsidRPr="005A0477">
                          <w:rPr>
                            <w:rFonts w:ascii="Arial" w:eastAsia="Times New Roman" w:hAnsi="Arial" w:cs="Arial"/>
                            <w:sz w:val="20"/>
                            <w:szCs w:val="20"/>
                            <w:lang w:eastAsia="en-GB"/>
                          </w:rPr>
                          <w:t>Lieuts</w:t>
                        </w:r>
                        <w:proofErr w:type="spellEnd"/>
                        <w:r w:rsidRPr="005A0477">
                          <w:rPr>
                            <w:rFonts w:ascii="Arial" w:eastAsia="Times New Roman" w:hAnsi="Arial" w:cs="Arial"/>
                            <w:sz w:val="20"/>
                            <w:szCs w:val="20"/>
                            <w:lang w:eastAsia="en-GB"/>
                          </w:rPr>
                          <w:t xml:space="preserve">. Jewell, Merrifield, McDonald and </w:t>
                        </w:r>
                        <w:proofErr w:type="spellStart"/>
                        <w:r w:rsidRPr="005A0477">
                          <w:rPr>
                            <w:rFonts w:ascii="Arial" w:eastAsia="Times New Roman" w:hAnsi="Arial" w:cs="Arial"/>
                            <w:sz w:val="20"/>
                            <w:szCs w:val="20"/>
                            <w:lang w:eastAsia="en-GB"/>
                          </w:rPr>
                          <w:t>Leclair</w:t>
                        </w:r>
                        <w:proofErr w:type="spellEnd"/>
                        <w:r w:rsidRPr="005A0477">
                          <w:rPr>
                            <w:rFonts w:ascii="Arial" w:eastAsia="Times New Roman" w:hAnsi="Arial" w:cs="Arial"/>
                            <w:sz w:val="20"/>
                            <w:szCs w:val="20"/>
                            <w:lang w:eastAsia="en-GB"/>
                          </w:rPr>
                          <w:t>. </w:t>
                        </w:r>
                        <w:r w:rsidRPr="005A0477">
                          <w:rPr>
                            <w:rFonts w:ascii="Arial" w:eastAsia="Times New Roman" w:hAnsi="Arial" w:cs="Arial"/>
                            <w:sz w:val="20"/>
                            <w:szCs w:val="20"/>
                            <w:lang w:eastAsia="en-GB"/>
                          </w:rPr>
                          <w:br/>
                        </w:r>
                        <w:r w:rsidRPr="005A0477">
                          <w:rPr>
                            <w:rFonts w:ascii="Arial" w:eastAsia="Times New Roman" w:hAnsi="Arial" w:cs="Arial"/>
                            <w:sz w:val="20"/>
                            <w:szCs w:val="20"/>
                            <w:lang w:eastAsia="en-GB"/>
                          </w:rPr>
                          <w:br/>
                          <w:t xml:space="preserve">No.127 Company was formed, by authority of A.O. </w:t>
                        </w:r>
                        <w:proofErr w:type="spellStart"/>
                        <w:r w:rsidRPr="005A0477">
                          <w:rPr>
                            <w:rFonts w:ascii="Arial" w:eastAsia="Times New Roman" w:hAnsi="Arial" w:cs="Arial"/>
                            <w:sz w:val="20"/>
                            <w:szCs w:val="20"/>
                            <w:lang w:eastAsia="en-GB"/>
                          </w:rPr>
                          <w:t>para</w:t>
                        </w:r>
                        <w:proofErr w:type="spellEnd"/>
                        <w:r w:rsidRPr="005A0477">
                          <w:rPr>
                            <w:rFonts w:ascii="Arial" w:eastAsia="Times New Roman" w:hAnsi="Arial" w:cs="Arial"/>
                            <w:sz w:val="20"/>
                            <w:szCs w:val="20"/>
                            <w:lang w:eastAsia="en-GB"/>
                          </w:rPr>
                          <w:t xml:space="preserve">. 805 D/26.9.17, from one half of No.111 Company at Castle Douglas. Situated at </w:t>
                        </w:r>
                        <w:proofErr w:type="spellStart"/>
                        <w:r w:rsidRPr="005A0477">
                          <w:rPr>
                            <w:rFonts w:ascii="Arial" w:eastAsia="Times New Roman" w:hAnsi="Arial" w:cs="Arial"/>
                            <w:sz w:val="20"/>
                            <w:szCs w:val="20"/>
                            <w:lang w:eastAsia="en-GB"/>
                          </w:rPr>
                          <w:t>Jedburgh</w:t>
                        </w:r>
                        <w:proofErr w:type="spellEnd"/>
                        <w:r w:rsidRPr="005A0477">
                          <w:rPr>
                            <w:rFonts w:ascii="Arial" w:eastAsia="Times New Roman" w:hAnsi="Arial" w:cs="Arial"/>
                            <w:sz w:val="20"/>
                            <w:szCs w:val="20"/>
                            <w:lang w:eastAsia="en-GB"/>
                          </w:rPr>
                          <w:t>, Scotland, the advance party arrived from Castle Douglas on 4th October 1917. </w:t>
                        </w:r>
                      </w:p>
                    </w:tc>
                  </w:tr>
                </w:tbl>
                <w:p w:rsidR="005A0477" w:rsidRPr="005A0477" w:rsidRDefault="005A0477" w:rsidP="005A0477">
                  <w:pPr>
                    <w:spacing w:after="0" w:line="240" w:lineRule="auto"/>
                    <w:rPr>
                      <w:rFonts w:ascii="Times New Roman" w:eastAsia="Times New Roman" w:hAnsi="Times New Roman" w:cs="Times New Roman"/>
                      <w:sz w:val="24"/>
                      <w:szCs w:val="24"/>
                      <w:lang w:eastAsia="en-GB"/>
                    </w:rPr>
                  </w:pPr>
                </w:p>
              </w:tc>
            </w:tr>
          </w:tbl>
          <w:p w:rsidR="005A0477" w:rsidRPr="005A0477" w:rsidRDefault="005A0477" w:rsidP="005A0477">
            <w:pPr>
              <w:spacing w:after="0" w:line="240" w:lineRule="auto"/>
              <w:jc w:val="center"/>
              <w:rPr>
                <w:rFonts w:ascii="Times New Roman" w:eastAsia="Times New Roman" w:hAnsi="Times New Roman" w:cs="Times New Roman"/>
                <w:sz w:val="24"/>
                <w:szCs w:val="24"/>
                <w:lang w:eastAsia="en-GB"/>
              </w:rPr>
            </w:pPr>
          </w:p>
        </w:tc>
      </w:tr>
    </w:tbl>
    <w:p w:rsidR="007F425F" w:rsidRDefault="00EF0431"/>
    <w:sectPr w:rsidR="007F425F" w:rsidSect="005A047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5A0477"/>
    <w:rsid w:val="00007631"/>
    <w:rsid w:val="00175BF4"/>
    <w:rsid w:val="005A0477"/>
    <w:rsid w:val="00C23071"/>
    <w:rsid w:val="00EF043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7631"/>
  </w:style>
  <w:style w:type="paragraph" w:styleId="Heading2">
    <w:name w:val="heading 2"/>
    <w:basedOn w:val="Normal"/>
    <w:link w:val="Heading2Char"/>
    <w:uiPriority w:val="9"/>
    <w:qFormat/>
    <w:rsid w:val="005A0477"/>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5A0477"/>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A0477"/>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5A0477"/>
    <w:rPr>
      <w:rFonts w:ascii="Times New Roman" w:eastAsia="Times New Roman" w:hAnsi="Times New Roman" w:cs="Times New Roman"/>
      <w:b/>
      <w:bCs/>
      <w:sz w:val="27"/>
      <w:szCs w:val="27"/>
      <w:lang w:eastAsia="en-GB"/>
    </w:rPr>
  </w:style>
  <w:style w:type="character" w:customStyle="1" w:styleId="apple-style-span">
    <w:name w:val="apple-style-span"/>
    <w:basedOn w:val="DefaultParagraphFont"/>
    <w:rsid w:val="005A0477"/>
  </w:style>
  <w:style w:type="paragraph" w:styleId="NormalWeb">
    <w:name w:val="Normal (Web)"/>
    <w:basedOn w:val="Normal"/>
    <w:uiPriority w:val="99"/>
    <w:unhideWhenUsed/>
    <w:rsid w:val="005A047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A0477"/>
    <w:rPr>
      <w:b/>
      <w:bCs/>
    </w:rPr>
  </w:style>
  <w:style w:type="character" w:styleId="Hyperlink">
    <w:name w:val="Hyperlink"/>
    <w:basedOn w:val="DefaultParagraphFont"/>
    <w:uiPriority w:val="99"/>
    <w:semiHidden/>
    <w:unhideWhenUsed/>
    <w:rsid w:val="005A0477"/>
    <w:rPr>
      <w:color w:val="0000FF"/>
      <w:u w:val="single"/>
    </w:rPr>
  </w:style>
  <w:style w:type="character" w:customStyle="1" w:styleId="apple-converted-space">
    <w:name w:val="apple-converted-space"/>
    <w:basedOn w:val="DefaultParagraphFont"/>
    <w:rsid w:val="005A0477"/>
  </w:style>
  <w:style w:type="paragraph" w:styleId="BalloonText">
    <w:name w:val="Balloon Text"/>
    <w:basedOn w:val="Normal"/>
    <w:link w:val="BalloonTextChar"/>
    <w:uiPriority w:val="99"/>
    <w:semiHidden/>
    <w:unhideWhenUsed/>
    <w:rsid w:val="005A04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047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17011006">
      <w:bodyDiv w:val="1"/>
      <w:marLeft w:val="0"/>
      <w:marRight w:val="0"/>
      <w:marTop w:val="0"/>
      <w:marBottom w:val="0"/>
      <w:divBdr>
        <w:top w:val="none" w:sz="0" w:space="0" w:color="auto"/>
        <w:left w:val="none" w:sz="0" w:space="0" w:color="auto"/>
        <w:bottom w:val="none" w:sz="0" w:space="0" w:color="auto"/>
        <w:right w:val="none" w:sz="0" w:space="0" w:color="auto"/>
      </w:divBdr>
      <w:divsChild>
        <w:div w:id="9021785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arch-recherche.collectionscanada.ca/archives/searchResults.jsp?FormName=from+MIKAN+Search+Results&amp;PageNum=1&amp;SortSpec=score+desc&amp;Suggestion=on&amp;Language=eng&amp;Sources=mikan&amp;ResultCount=10&amp;Level=&amp;MaterialDateOperator=after&amp;MaterialDate=&amp;Date=&amp;Media=&amp;DigitalImages=&amp;QueryText=238th" TargetMode="External"/><Relationship Id="rId3" Type="http://schemas.openxmlformats.org/officeDocument/2006/relationships/webSettings" Target="webSettings.xml"/><Relationship Id="rId7" Type="http://schemas.openxmlformats.org/officeDocument/2006/relationships/image" Target="media/image3.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gif"/><Relationship Id="rId5" Type="http://schemas.openxmlformats.org/officeDocument/2006/relationships/hyperlink" Target="http://www.cefresearch.com/matrix/images/badges2008/CEF_Forestry.gif" TargetMode="External"/><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531</Words>
  <Characters>3031</Characters>
  <Application>Microsoft Office Word</Application>
  <DocSecurity>0</DocSecurity>
  <Lines>25</Lines>
  <Paragraphs>7</Paragraphs>
  <ScaleCrop>false</ScaleCrop>
  <Company/>
  <LinksUpToDate>false</LinksUpToDate>
  <CharactersWithSpaces>3555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Ollies</dc:creator>
  <cp:keywords>Canadian Expeditionary Force; military; John Howey</cp:keywords>
  <cp:lastModifiedBy>The Ollies</cp:lastModifiedBy>
  <cp:revision>2</cp:revision>
  <dcterms:created xsi:type="dcterms:W3CDTF">2011-05-09T08:12:00Z</dcterms:created>
  <dcterms:modified xsi:type="dcterms:W3CDTF">2011-05-09T08:16:00Z</dcterms:modified>
</cp:coreProperties>
</file>